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C17C9" w14:textId="77777777" w:rsidR="00D82E8F" w:rsidRDefault="00DF2759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0AAC1818" wp14:editId="0AAC1819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>
        <w:rPr>
          <w:b/>
          <w:sz w:val="36"/>
        </w:rPr>
        <w:t xml:space="preserve">FICHE D’ANALYSE PÉDAGOGIQUE PAR QUESTION </w:t>
      </w:r>
    </w:p>
    <w:tbl>
      <w:tblPr>
        <w:tblStyle w:val="Grilledutableau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5"/>
        <w:gridCol w:w="2125"/>
        <w:gridCol w:w="5247"/>
      </w:tblGrid>
      <w:tr w:rsidR="00D82E8F" w14:paraId="0AAC17CB" w14:textId="77777777">
        <w:tc>
          <w:tcPr>
            <w:tcW w:w="10206" w:type="dxa"/>
            <w:gridSpan w:val="3"/>
          </w:tcPr>
          <w:p w14:paraId="0AAC17CA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NIVEAU DE FORAMATION :</w:t>
            </w:r>
            <w:r>
              <w:rPr>
                <w:rFonts w:ascii="Calibri" w:eastAsia="Calibri" w:hAnsi="Calibri"/>
              </w:rPr>
              <w:t xml:space="preserve"> 2nde professionnelle</w:t>
            </w:r>
          </w:p>
        </w:tc>
      </w:tr>
      <w:tr w:rsidR="00D82E8F" w14:paraId="0AAC17CE" w14:textId="77777777">
        <w:tc>
          <w:tcPr>
            <w:tcW w:w="4960" w:type="dxa"/>
            <w:gridSpan w:val="2"/>
          </w:tcPr>
          <w:p w14:paraId="0AAC17CC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DOMAINE</w:t>
            </w:r>
            <w:r>
              <w:rPr>
                <w:rFonts w:ascii="Calibri" w:eastAsia="Calibri" w:hAnsi="Calibri"/>
              </w:rPr>
              <w:t> : ESPACE ET GEOMETRIE</w:t>
            </w:r>
          </w:p>
        </w:tc>
        <w:tc>
          <w:tcPr>
            <w:tcW w:w="5246" w:type="dxa"/>
          </w:tcPr>
          <w:p w14:paraId="0AAC17CD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COMPÉTENCE</w:t>
            </w:r>
            <w:r>
              <w:rPr>
                <w:rFonts w:ascii="Calibri" w:eastAsia="Calibri" w:hAnsi="Calibri"/>
              </w:rPr>
              <w:t> : VALIDER</w:t>
            </w:r>
          </w:p>
        </w:tc>
      </w:tr>
      <w:tr w:rsidR="00D82E8F" w14:paraId="0AAC17D0" w14:textId="77777777">
        <w:tc>
          <w:tcPr>
            <w:tcW w:w="10206" w:type="dxa"/>
            <w:gridSpan w:val="3"/>
          </w:tcPr>
          <w:p w14:paraId="0AAC17CF" w14:textId="77777777" w:rsidR="00D82E8F" w:rsidRDefault="00DF275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  <w:b/>
              </w:rPr>
              <w:t>SOUS DOMAINE</w:t>
            </w:r>
            <w:r>
              <w:rPr>
                <w:rFonts w:eastAsia="Calibri"/>
              </w:rPr>
              <w:t> : Calculer avec des grandeurs mesurables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82E8F" w14:paraId="0AAC17D2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0AAC17D1" w14:textId="77777777" w:rsidR="00D82E8F" w:rsidRDefault="00DF27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QUESTION n° 12 - GEO3</w:t>
            </w:r>
          </w:p>
        </w:tc>
      </w:tr>
      <w:tr w:rsidR="00D82E8F" w14:paraId="0AAC17D5" w14:textId="77777777">
        <w:tc>
          <w:tcPr>
            <w:tcW w:w="4960" w:type="dxa"/>
            <w:gridSpan w:val="2"/>
          </w:tcPr>
          <w:p w14:paraId="0AAC17D3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TYPE</w:t>
            </w:r>
            <w:r>
              <w:rPr>
                <w:rStyle w:val="Appelnotedebasdep"/>
                <w:rFonts w:ascii="Calibri" w:eastAsia="Calibri" w:hAnsi="Calibri"/>
              </w:rPr>
              <w:footnoteReference w:id="1"/>
            </w:r>
            <w:r>
              <w:rPr>
                <w:rFonts w:ascii="Calibri" w:eastAsia="Calibri" w:hAnsi="Calibri"/>
              </w:rPr>
              <w:t xml:space="preserve"> : Intermédiaire </w:t>
            </w:r>
          </w:p>
        </w:tc>
        <w:tc>
          <w:tcPr>
            <w:tcW w:w="5246" w:type="dxa"/>
          </w:tcPr>
          <w:p w14:paraId="0AAC17D4" w14:textId="5DDA94D4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CONTEXTE</w:t>
            </w:r>
            <w:r>
              <w:rPr>
                <w:rStyle w:val="Appelnotedebasdep"/>
                <w:rFonts w:ascii="Calibri" w:eastAsia="Calibri" w:hAnsi="Calibri"/>
              </w:rPr>
              <w:footnoteReference w:id="2"/>
            </w:r>
            <w:r>
              <w:rPr>
                <w:rFonts w:ascii="Calibri" w:eastAsia="Calibri" w:hAnsi="Calibri"/>
              </w:rPr>
              <w:t xml:space="preserve"> : intra </w:t>
            </w:r>
            <w:r w:rsidR="00415FDF">
              <w:rPr>
                <w:rFonts w:ascii="Calibri" w:eastAsia="Calibri" w:hAnsi="Calibri"/>
              </w:rPr>
              <w:t>mathématique</w:t>
            </w:r>
          </w:p>
        </w:tc>
      </w:tr>
      <w:tr w:rsidR="00D82E8F" w14:paraId="0AAC17E5" w14:textId="77777777">
        <w:trPr>
          <w:trHeight w:val="2958"/>
        </w:trPr>
        <w:tc>
          <w:tcPr>
            <w:tcW w:w="10206" w:type="dxa"/>
            <w:gridSpan w:val="3"/>
          </w:tcPr>
          <w:p w14:paraId="0AAC17D6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Enoncé</w:t>
            </w:r>
          </w:p>
          <w:p w14:paraId="0AAC17E4" w14:textId="5DF6D7EF" w:rsidR="00D82E8F" w:rsidRDefault="00DF2759">
            <w:pPr>
              <w:widowControl w:val="0"/>
              <w:spacing w:after="0" w:line="240" w:lineRule="auto"/>
              <w:rPr>
                <w:rFonts w:ascii="Times" w:hAnsi="Times" w:cs="Times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  <w:r w:rsidR="00415FDF" w:rsidRPr="00415FDF">
              <w:rPr>
                <w:rFonts w:ascii="Arial" w:eastAsia="NSimSun" w:hAnsi="Arial" w:cs="Arial"/>
                <w:kern w:val="2"/>
                <w:sz w:val="24"/>
                <w:szCs w:val="24"/>
                <w:lang w:eastAsia="zh-CN" w:bidi="hi-IN"/>
              </w:rPr>
              <w:drawing>
                <wp:inline distT="0" distB="0" distL="0" distR="0" wp14:anchorId="61C6DBFD" wp14:editId="7A387E68">
                  <wp:extent cx="3491198" cy="1698718"/>
                  <wp:effectExtent l="0" t="0" r="0" b="0"/>
                  <wp:docPr id="46299344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99344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2492" cy="170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8F" w14:paraId="0AAC17E8" w14:textId="77777777">
        <w:tc>
          <w:tcPr>
            <w:tcW w:w="2835" w:type="dxa"/>
          </w:tcPr>
          <w:p w14:paraId="0AAC17E6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Réponse attendue</w:t>
            </w:r>
          </w:p>
        </w:tc>
        <w:tc>
          <w:tcPr>
            <w:tcW w:w="7371" w:type="dxa"/>
            <w:gridSpan w:val="2"/>
          </w:tcPr>
          <w:p w14:paraId="0AAC17E7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60 °</w:t>
            </w:r>
          </w:p>
        </w:tc>
      </w:tr>
      <w:tr w:rsidR="00D82E8F" w14:paraId="0AAC17EB" w14:textId="77777777">
        <w:tc>
          <w:tcPr>
            <w:tcW w:w="2835" w:type="dxa"/>
          </w:tcPr>
          <w:p w14:paraId="0AAC17E9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0AAC17EA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Calculer un angle dans un triangle en connaissant la valeur des deux autres angles</w:t>
            </w:r>
          </w:p>
        </w:tc>
      </w:tr>
      <w:tr w:rsidR="00D82E8F" w14:paraId="0AAC17EE" w14:textId="77777777">
        <w:tc>
          <w:tcPr>
            <w:tcW w:w="2835" w:type="dxa"/>
          </w:tcPr>
          <w:p w14:paraId="0AAC17EC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Positionnement</w:t>
            </w:r>
            <w:r>
              <w:rPr>
                <w:rStyle w:val="Appelnotedebasdep"/>
                <w:rFonts w:eastAsia="Calibri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0AAC17ED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Fragile</w:t>
            </w:r>
          </w:p>
        </w:tc>
      </w:tr>
      <w:tr w:rsidR="00D82E8F" w14:paraId="0AAC17F0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0AAC17EF" w14:textId="77777777" w:rsidR="00D82E8F" w:rsidRDefault="00DF27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COMMENTAIRES PÉDAGOGIQUES</w:t>
            </w:r>
          </w:p>
        </w:tc>
      </w:tr>
      <w:tr w:rsidR="00D82E8F" w14:paraId="0AAC17F4" w14:textId="77777777">
        <w:tc>
          <w:tcPr>
            <w:tcW w:w="10206" w:type="dxa"/>
            <w:gridSpan w:val="3"/>
          </w:tcPr>
          <w:p w14:paraId="0AAC17F1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Analyse des difficultés et des distracteurs</w:t>
            </w:r>
          </w:p>
          <w:p w14:paraId="0AAC17F2" w14:textId="77777777" w:rsidR="00D82E8F" w:rsidRDefault="00DF275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Les propositions correspondent soit à l’un des angles, soit à une addition ou une soustraction des deux angles donnés.</w:t>
            </w:r>
          </w:p>
          <w:p w14:paraId="0AAC17F3" w14:textId="77777777" w:rsidR="00D82E8F" w:rsidRDefault="00DF275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Le mot « somme » dans l’aide peut amener l’élève à penser qu’il faille faire juste une addition. La phrase de l’aide ne donne pas directement le calcul à faire.</w:t>
            </w:r>
          </w:p>
        </w:tc>
      </w:tr>
      <w:tr w:rsidR="00D82E8F" w14:paraId="0AAC17F6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0AAC17F5" w14:textId="77777777" w:rsidR="00D82E8F" w:rsidRDefault="00DF27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Niveaux de maîtrises</w:t>
            </w:r>
          </w:p>
        </w:tc>
      </w:tr>
      <w:tr w:rsidR="00D82E8F" w14:paraId="0AAC17FA" w14:textId="77777777">
        <w:tc>
          <w:tcPr>
            <w:tcW w:w="10206" w:type="dxa"/>
            <w:gridSpan w:val="3"/>
          </w:tcPr>
          <w:p w14:paraId="0AAC17F7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 xml:space="preserve">« à besoins » : </w:t>
            </w:r>
            <w:r>
              <w:rPr>
                <w:rFonts w:eastAsia="Calibri"/>
              </w:rPr>
              <w:t>pas de réponse ou une réponse fausse.</w:t>
            </w:r>
          </w:p>
          <w:p w14:paraId="0AAC17F8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« fragile » :</w:t>
            </w:r>
            <w:r>
              <w:rPr>
                <w:rFonts w:ascii="Calibri" w:eastAsia="Calibri" w:hAnsi="Calibri"/>
              </w:rPr>
              <w:t xml:space="preserve"> une réponse fausse avec des traces de calculs partiellement corrects.</w:t>
            </w:r>
          </w:p>
          <w:p w14:paraId="0AAC17F9" w14:textId="77777777" w:rsidR="00D82E8F" w:rsidRDefault="00DF2759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« satisfaisant » :</w:t>
            </w:r>
            <w:r>
              <w:rPr>
                <w:rFonts w:ascii="Calibri" w:eastAsia="Calibri" w:hAnsi="Calibri"/>
              </w:rPr>
              <w:t xml:space="preserve"> une réponse correcte.</w:t>
            </w:r>
          </w:p>
        </w:tc>
      </w:tr>
      <w:tr w:rsidR="00D82E8F" w14:paraId="0AAC17FC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0AAC17FB" w14:textId="77777777" w:rsidR="00D82E8F" w:rsidRDefault="00DF275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Pistes de différenciation pédagogique</w:t>
            </w:r>
          </w:p>
        </w:tc>
      </w:tr>
      <w:tr w:rsidR="00D82E8F" w14:paraId="0AAC1801" w14:textId="77777777">
        <w:tc>
          <w:tcPr>
            <w:tcW w:w="10206" w:type="dxa"/>
            <w:gridSpan w:val="3"/>
            <w:tcBorders>
              <w:bottom w:val="dashed" w:sz="4" w:space="0" w:color="000000"/>
            </w:tcBorders>
          </w:tcPr>
          <w:p w14:paraId="0AAC17FD" w14:textId="77777777" w:rsidR="00D82E8F" w:rsidRDefault="00DF2759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Simplification</w:t>
            </w:r>
          </w:p>
          <w:p w14:paraId="0AAC17FE" w14:textId="77777777" w:rsidR="00D82E8F" w:rsidRDefault="00DF275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Donner un triangle particulier (équilatéral, isocèle)</w:t>
            </w:r>
          </w:p>
          <w:p w14:paraId="0AAC17FF" w14:textId="77777777" w:rsidR="00D82E8F" w:rsidRDefault="00DF275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Changer la consigne « Montrer, par un calcul, que l’angle </w:t>
            </w:r>
            <m:oMath>
              <m:acc>
                <m:accPr>
                  <m:chr m:val="^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oMath>
            <w:r>
              <w:rPr>
                <w:rFonts w:ascii="Calibri" w:eastAsia="Calibri" w:hAnsi="Calibri"/>
              </w:rPr>
              <w:t xml:space="preserve"> mesure 60° »</w:t>
            </w:r>
          </w:p>
          <w:p w14:paraId="0AAC1800" w14:textId="77777777" w:rsidR="00D82E8F" w:rsidRDefault="00DF275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Donner la formule qui permet de calculer l’angle </w:t>
            </w:r>
            <m:oMath>
              <m:acc>
                <m:accPr>
                  <m:chr m:val="^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oMath>
            <w:r>
              <w:rPr>
                <w:rFonts w:ascii="Calibri" w:eastAsia="Calibri" w:hAnsi="Calibri"/>
              </w:rPr>
              <w:t>, l’élève aura juste à remplacer par les valeurs et à calculer.</w:t>
            </w:r>
          </w:p>
        </w:tc>
      </w:tr>
      <w:tr w:rsidR="00D82E8F" w14:paraId="0AAC1809" w14:textId="77777777">
        <w:tc>
          <w:tcPr>
            <w:tcW w:w="10206" w:type="dxa"/>
            <w:gridSpan w:val="3"/>
            <w:tcBorders>
              <w:top w:val="dashed" w:sz="4" w:space="0" w:color="000000"/>
            </w:tcBorders>
          </w:tcPr>
          <w:p w14:paraId="0AAC1802" w14:textId="77777777" w:rsidR="00D82E8F" w:rsidRDefault="00DF2759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Complexification</w:t>
            </w:r>
          </w:p>
          <w:p w14:paraId="0AAC1803" w14:textId="77777777" w:rsidR="00D82E8F" w:rsidRDefault="00DF275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Ajouter des informations inutiles (des longueurs par exemple)</w:t>
            </w:r>
          </w:p>
          <w:p w14:paraId="0AAC1804" w14:textId="77777777" w:rsidR="00D82E8F" w:rsidRDefault="00DF275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Ne pas proposer de réponse à cocher.</w:t>
            </w:r>
          </w:p>
          <w:p w14:paraId="0AAC1805" w14:textId="77777777" w:rsidR="00D82E8F" w:rsidRDefault="00DF275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Donner des valeurs plus difficiles à calculer sans calculatrice.</w:t>
            </w:r>
          </w:p>
          <w:p w14:paraId="0AAC1806" w14:textId="77777777" w:rsidR="00D82E8F" w:rsidRDefault="00DF275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Supprimer l’aide.</w:t>
            </w:r>
          </w:p>
          <w:p w14:paraId="0AAC1807" w14:textId="77777777" w:rsidR="00D82E8F" w:rsidRDefault="00DF275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Donner un triangle rectangle sans préciser la valeur de l’angle droit.</w:t>
            </w:r>
          </w:p>
          <w:p w14:paraId="0AAC1808" w14:textId="77777777" w:rsidR="00D82E8F" w:rsidRDefault="00D82E8F">
            <w:pPr>
              <w:pStyle w:val="Paragraphedeliste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D82E8F" w14:paraId="0AAC180E" w14:textId="77777777">
        <w:tc>
          <w:tcPr>
            <w:tcW w:w="10206" w:type="dxa"/>
            <w:gridSpan w:val="3"/>
          </w:tcPr>
          <w:p w14:paraId="0AAC180A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 xml:space="preserve">Remédiations   </w:t>
            </w:r>
          </w:p>
          <w:p w14:paraId="0AAC180B" w14:textId="77777777" w:rsidR="00D82E8F" w:rsidRDefault="00DF2759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Revoir les propriétés d’un triangle (angles) en proposant une activité dans laquelle on demande aux élèves de dessiner un triangle quelconque à la règle, de mesurer leurs angles et d’en faire la somme et de comparer les résultats de chaque élève en faisant remarquer qu’ils n’ont pas les mêmes triangles à la base.</w:t>
            </w:r>
          </w:p>
          <w:p w14:paraId="0AAC180C" w14:textId="77777777" w:rsidR="00D82E8F" w:rsidRDefault="00DF2759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Revoir les transformations de formules pour trouver l’inconnue.</w:t>
            </w:r>
          </w:p>
          <w:p w14:paraId="0AAC180D" w14:textId="77777777" w:rsidR="00D82E8F" w:rsidRDefault="00D82E8F">
            <w:pPr>
              <w:pStyle w:val="Paragraphedeliste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D82E8F" w14:paraId="0AAC1813" w14:textId="77777777">
        <w:tc>
          <w:tcPr>
            <w:tcW w:w="10206" w:type="dxa"/>
            <w:gridSpan w:val="3"/>
          </w:tcPr>
          <w:p w14:paraId="0AAC180F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lastRenderedPageBreak/>
              <w:t xml:space="preserve">Prolongements </w:t>
            </w:r>
          </w:p>
          <w:p w14:paraId="0AAC1810" w14:textId="77777777" w:rsidR="00D82E8F" w:rsidRDefault="00DF2759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Vérifier l’angle calculé en traçant la figure en vraie grandeur et en mesurant les angles à l’aide du rapporteur.</w:t>
            </w:r>
          </w:p>
          <w:p w14:paraId="0AAC1811" w14:textId="77777777" w:rsidR="00D82E8F" w:rsidRDefault="00DF2759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Calculer l’aire d’un triangle</w:t>
            </w:r>
          </w:p>
          <w:p w14:paraId="0AAC1812" w14:textId="77777777" w:rsidR="00D82E8F" w:rsidRDefault="00DF2759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Utiliser les relations trigonométriques dans le triangle rectangle pour trouver la mesure d’un angle ou la longueur d’un côté du triangle.</w:t>
            </w:r>
          </w:p>
        </w:tc>
      </w:tr>
      <w:tr w:rsidR="00D82E8F" w14:paraId="0AAC1816" w14:textId="77777777">
        <w:tc>
          <w:tcPr>
            <w:tcW w:w="10206" w:type="dxa"/>
            <w:gridSpan w:val="3"/>
          </w:tcPr>
          <w:p w14:paraId="0AAC1814" w14:textId="77777777" w:rsidR="00D82E8F" w:rsidRDefault="00DF2759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Éléments du programme de 2</w:t>
            </w:r>
            <w:r>
              <w:rPr>
                <w:rFonts w:eastAsia="Calibri"/>
                <w:b/>
                <w:vertAlign w:val="superscript"/>
              </w:rPr>
              <w:t>nde</w:t>
            </w:r>
            <w:r>
              <w:rPr>
                <w:rFonts w:eastAsia="Calibri"/>
                <w:b/>
              </w:rPr>
              <w:t xml:space="preserve"> BAC PRO permettant de remobiliser cette notion</w:t>
            </w:r>
          </w:p>
          <w:p w14:paraId="0AAC1815" w14:textId="77777777" w:rsidR="00D82E8F" w:rsidRDefault="00DF2759">
            <w:pPr>
              <w:widowControl w:val="0"/>
              <w:spacing w:after="240" w:line="340" w:lineRule="atLeast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Calibri" w:eastAsia="Calibri" w:hAnsi="Calibri"/>
              </w:rPr>
              <w:t>Dans le  domaine Géométrie, l’une des capacités développées est :</w:t>
            </w:r>
            <w:r>
              <w:rPr>
                <w:rFonts w:ascii="PMingLiU" w:eastAsia="PMingLiU" w:hAnsi="PMingLiU" w:cs="PMingLiU"/>
              </w:rPr>
              <w:br/>
            </w:r>
            <w:r>
              <w:rPr>
                <w:rFonts w:ascii="Calibri" w:eastAsia="Calibri" w:hAnsi="Calibri"/>
              </w:rPr>
              <w:t>• Calcu</w:t>
            </w:r>
            <w:r>
              <w:rPr>
                <w:rFonts w:ascii="Calibri" w:eastAsia="Calibri" w:hAnsi="Calibri" w:cs="Times"/>
              </w:rPr>
              <w:t>ler des longueurs, des mesures d’angles, des aires et des volumes dans les figures ou solides</w:t>
            </w:r>
            <w:r>
              <w:rPr>
                <w:rFonts w:ascii="Times" w:eastAsia="Calibri" w:hAnsi="Times" w:cs="Times"/>
                <w:sz w:val="30"/>
                <w:szCs w:val="30"/>
              </w:rPr>
              <w:t xml:space="preserve"> </w:t>
            </w:r>
          </w:p>
        </w:tc>
      </w:tr>
    </w:tbl>
    <w:p w14:paraId="0AAC1817" w14:textId="77777777" w:rsidR="00D82E8F" w:rsidRDefault="00D82E8F">
      <w:pPr>
        <w:rPr>
          <w:sz w:val="12"/>
        </w:rPr>
      </w:pPr>
    </w:p>
    <w:sectPr w:rsidR="00D82E8F">
      <w:pgSz w:w="11906" w:h="16838"/>
      <w:pgMar w:top="568" w:right="1417" w:bottom="0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1822" w14:textId="77777777" w:rsidR="00DF2759" w:rsidRDefault="00DF2759">
      <w:pPr>
        <w:spacing w:after="0" w:line="240" w:lineRule="auto"/>
      </w:pPr>
      <w:r>
        <w:separator/>
      </w:r>
    </w:p>
  </w:endnote>
  <w:endnote w:type="continuationSeparator" w:id="0">
    <w:p w14:paraId="0AAC1824" w14:textId="77777777" w:rsidR="00DF2759" w:rsidRDefault="00DF2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01"/>
    <w:family w:val="swiss"/>
    <w:pitch w:val="variable"/>
    <w:sig w:usb0="E10002FF" w:usb1="5000ECFF" w:usb2="00000009" w:usb3="00000000" w:csb0="0000019F" w:csb1="00000000"/>
  </w:font>
  <w:font w:name="Noto Sans SC Regular">
    <w:charset w:val="00"/>
    <w:family w:val="roman"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C181E" w14:textId="77777777" w:rsidR="00D82E8F" w:rsidRDefault="00DF2759">
      <w:r>
        <w:separator/>
      </w:r>
    </w:p>
  </w:footnote>
  <w:footnote w:type="continuationSeparator" w:id="0">
    <w:p w14:paraId="0AAC181F" w14:textId="77777777" w:rsidR="00D82E8F" w:rsidRDefault="00DF2759">
      <w:r>
        <w:continuationSeparator/>
      </w:r>
    </w:p>
  </w:footnote>
  <w:footnote w:id="1">
    <w:p w14:paraId="0AAC1820" w14:textId="77777777" w:rsidR="00D82E8F" w:rsidRDefault="00DF2759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0AAC1821" w14:textId="77777777" w:rsidR="00D82E8F" w:rsidRDefault="00DF2759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0AAC1822" w14:textId="77777777" w:rsidR="00D82E8F" w:rsidRDefault="00DF2759">
      <w:pPr>
        <w:rPr>
          <w:b/>
        </w:rPr>
      </w:pPr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0AAC1823" w14:textId="77777777" w:rsidR="00D82E8F" w:rsidRDefault="00D82E8F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4165"/>
    <w:multiLevelType w:val="multilevel"/>
    <w:tmpl w:val="E7B0FEDA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196E98"/>
    <w:multiLevelType w:val="multilevel"/>
    <w:tmpl w:val="29B446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3A7039F"/>
    <w:multiLevelType w:val="multilevel"/>
    <w:tmpl w:val="2A58C9D6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5A5BB3"/>
    <w:multiLevelType w:val="multilevel"/>
    <w:tmpl w:val="55E80DF8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9FE54F8"/>
    <w:multiLevelType w:val="multilevel"/>
    <w:tmpl w:val="E05CAFA6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E652F75"/>
    <w:multiLevelType w:val="multilevel"/>
    <w:tmpl w:val="A476CF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44727200">
    <w:abstractNumId w:val="1"/>
  </w:num>
  <w:num w:numId="2" w16cid:durableId="1422682210">
    <w:abstractNumId w:val="2"/>
  </w:num>
  <w:num w:numId="3" w16cid:durableId="1109424511">
    <w:abstractNumId w:val="5"/>
  </w:num>
  <w:num w:numId="4" w16cid:durableId="247159965">
    <w:abstractNumId w:val="0"/>
  </w:num>
  <w:num w:numId="5" w16cid:durableId="65613219">
    <w:abstractNumId w:val="4"/>
  </w:num>
  <w:num w:numId="6" w16cid:durableId="887568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2E8F"/>
    <w:rsid w:val="002D3306"/>
    <w:rsid w:val="00415FDF"/>
    <w:rsid w:val="00D82E8F"/>
    <w:rsid w:val="00D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AAC17C9"/>
  <w15:docId w15:val="{9B5B8B3C-82C7-4AA1-98CD-5AF06DB7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674C8D"/>
    <w:rPr>
      <w:sz w:val="20"/>
      <w:szCs w:val="20"/>
    </w:rPr>
  </w:style>
  <w:style w:type="character" w:customStyle="1" w:styleId="Caractresdenotedebasdepage">
    <w:name w:val="Caractères de note de bas de page"/>
    <w:uiPriority w:val="99"/>
    <w:semiHidden/>
    <w:unhideWhenUsed/>
    <w:qFormat/>
    <w:rsid w:val="00674C8D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qFormat/>
    <w:rsid w:val="00A14E03"/>
    <w:rPr>
      <w:color w:val="808080"/>
    </w:rPr>
  </w:style>
  <w:style w:type="character" w:customStyle="1" w:styleId="Caractresdenotedefin">
    <w:name w:val="Caractères de note de fin"/>
    <w:qFormat/>
  </w:style>
  <w:style w:type="character" w:styleId="Appeldenotedefin">
    <w:name w:val="endnote reference"/>
    <w:rPr>
      <w:vertAlign w:val="superscript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8A3E2B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030005"/>
    <w:pPr>
      <w:suppressAutoHyphens w:val="0"/>
    </w:pPr>
    <w:rPr>
      <w:rFonts w:ascii="Calibri" w:eastAsia="Calibri" w:hAnsi="Calibri" w:cs="Calibri"/>
      <w:color w:val="000000"/>
      <w:sz w:val="24"/>
      <w:szCs w:val="24"/>
      <w:lang w:val="fr-RE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674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1A7E0-8F7F-4C35-BB25-9A11CA11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2127</Characters>
  <Application>Microsoft Office Word</Application>
  <DocSecurity>0</DocSecurity>
  <Lines>17</Lines>
  <Paragraphs>5</Paragraphs>
  <ScaleCrop>false</ScaleCrop>
  <Company>Académie de la Réunion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dc:description/>
  <cp:lastModifiedBy>Emilie Perrine</cp:lastModifiedBy>
  <cp:revision>8</cp:revision>
  <cp:lastPrinted>2025-05-17T16:20:00Z</cp:lastPrinted>
  <dcterms:created xsi:type="dcterms:W3CDTF">2025-06-04T20:40:00Z</dcterms:created>
  <dcterms:modified xsi:type="dcterms:W3CDTF">2025-07-14T05:08:00Z</dcterms:modified>
  <dc:language>fr-FR</dc:language>
</cp:coreProperties>
</file>